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66C" w:rsidRPr="008C566C" w:rsidRDefault="008C566C" w:rsidP="005B3849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8C566C">
        <w:rPr>
          <w:rFonts w:ascii="Times New Roman" w:eastAsia="Calibri" w:hAnsi="Times New Roman" w:cs="Times New Roman"/>
          <w:b/>
        </w:rPr>
        <w:t>Раздел III Учетная политика для целей налогообложения</w:t>
      </w:r>
    </w:p>
    <w:p w:rsidR="005B3849" w:rsidRDefault="005B3849" w:rsidP="005B3849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8C566C" w:rsidRPr="008C566C" w:rsidRDefault="008C566C" w:rsidP="005B3849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8C566C">
        <w:rPr>
          <w:rFonts w:ascii="Times New Roman" w:eastAsia="Calibri" w:hAnsi="Times New Roman" w:cs="Times New Roman"/>
          <w:b/>
        </w:rPr>
        <w:t>Общие положения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 Налоговый учет представляет собой систему обобщения информации для определения налоговой базы по всем налогам, сборам и аналогичным обязательным платежам на основе данных первичных документов, сгруппированных в соответствии с порядком, предусмотренным Налоговым кодексом Российской Федерации.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Учет расчетов по налогам, платежам и сборам, уплачиваемым в бюджет и </w:t>
      </w:r>
      <w:proofErr w:type="gramStart"/>
      <w:r w:rsidRPr="008C566C">
        <w:rPr>
          <w:rFonts w:ascii="Times New Roman" w:eastAsia="Calibri" w:hAnsi="Times New Roman" w:cs="Times New Roman"/>
        </w:rPr>
        <w:t>внебюджетные фонды</w:t>
      </w:r>
      <w:proofErr w:type="gramEnd"/>
      <w:r w:rsidRPr="008C566C">
        <w:rPr>
          <w:rFonts w:ascii="Times New Roman" w:eastAsia="Calibri" w:hAnsi="Times New Roman" w:cs="Times New Roman"/>
        </w:rPr>
        <w:t xml:space="preserve"> ведется непрерывно, нарастающим итогом раздельно по каждому налогу, платежу и сбору в разрезе видов задолженности (недоимка по основной сумме налога, платежа и сбора, пеня и штраф).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Документы, обосновывающие расчеты по налогам, как по начислению, так и по уплате, формируются в соответствии с графиком документооборота, являющимся неотъемлемым приложением к данной учетной политике в целях налогообложения.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Порядок ведения налогового учета в Учреждении формируется в соответствии с положениями Налогового кодекса Российской Федерации с целью: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а) соблюдения единой методики учета для целей налогообложения;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б) формирования полной и достоверной информации о порядке учета для целей налогообложения;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 в) получение информации для внутренних и внешних пользователей, с целью осуществления контроля за правильным, полным, своевременным исчислением и уплатой в бюджет налога;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г) получение информации в разрезе отчетных (налоговых) периодов.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Основные задачи налогового учета: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- ведение в установленном порядке учета доходов и расходов и объектов налогообложения;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- представление в налоговый орган по месту учета в установленном порядке налоговых деклараций.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Объектами налогового учета могут быть: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- имущество;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- доходы, по которым возникает обязанность по уплате налогов;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- иные объекты, имеющие стоимость, по которым возникает обязанность по уплате налогов.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Система налогового учета в учреждениях построена в рамках существующей системы бюджетного учета, который осуществляется в соответствии с Инструкцией № 157н.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Для подтверждения данных налогового учета применяются: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а) первичные учетные документы (включая бухгалтерскую справку), оформленные в соответствии с законодательством Российской Федерации;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б) аналитические налоговые регистры (карточки счета, оборотные ведомости, другие бухгалтерские документы, а также дополнительные налоговые регистры).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Ведение налогового учета осуществляется в регистрах налогового учета с использованием автоматизированных информационных систем. Регистры налогового учета могут видоизменяться. Основанием для записей в регистрах налогового учета являются первичные документы, подтверждающие факт совершения хозяйственной операции, а также бухгалтерские справки.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Правильность отражения хозяйственных операций в регистрах налогового учета обеспечивают ответственные лица, составившие и подписавшие их.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lastRenderedPageBreak/>
        <w:t xml:space="preserve">Регистрами налогового учета являются: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- карточка счета, сформированная с учетом дополнительной группировкой расчетов по ИФО;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- оборотные ведомости, сформированные с учетом дополнительной группировкой расчетов по ИФО;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- другие бухгалтерские документы, сформированные с учетом дополнительной группировкой расчетов по ИФО;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- регистр учета доходов текущего периода, сформированный с учетом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дополнительной группировкой расчетов по ИФО;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- регистр учета использования средств, сформированный с учетом дополнительной группировкой расчетов по ИФО;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- регистр налогового учета по налогу на доходы физических лиц;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- карточка учета сумм начисленных выплат и иных вознаграждений и сумм начисленных страховых взносов.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8C566C" w:rsidRPr="008C566C" w:rsidRDefault="008C566C" w:rsidP="005B384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</w:rPr>
      </w:pPr>
      <w:r w:rsidRPr="008C566C">
        <w:rPr>
          <w:rFonts w:ascii="Times New Roman" w:eastAsia="Calibri" w:hAnsi="Times New Roman" w:cs="Times New Roman"/>
          <w:b/>
        </w:rPr>
        <w:t>1. Целевые средства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1.1. В состав доходов и расходов, включаемых в налогооблагаемую базу, не учитываются доходы, полученные в виде средств целевого финансирования и целевых поступлений (гранты, благотворительные пожертвования и другие аналогичные целевые поступления) на содержание Учреждения и ведение уставной деятельности, финансируемой за счет указанных источников, и расходы, производимые за счет этих средств.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Целевые средства (гранты, благотворительные пожертвования и другие аналогичные целевые поступления), получаемые от юридических и физических лиц, используемые не по целевому назначению, признаются доходами для целей налогообложения в соответствии со статьями 249, 250 главы 25 Налогового кодекса Российской Федерации.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1.2. Регистрами учета целевых средств (гранты, благотворительные пожертвования и другие аналогичные целевые поступления) являются: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- карточка счета, сформированная с учетом дополнительной группировкой расчетов по ИФО;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- оборотные ведомости, сформированные с учетом дополнительной группировкой расчетов по ИФО;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- другие бухгалтерские документы, сформированные с учетом дополнительной группировкой расчетов по ИФО;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- регистр учета поступлений целевых средств (гранты, благотворительные пожертвования и другие аналогичные целевые поступления) текущего периода, сформированный с учетом дополнительной группировкой расчетов по ИФО (приложение 3 к Учетной политике);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- регистр учета использования целевых поступлений (гранты, благотворительные пожертвования и другие аналогичные целевые поступления) текущего периода, сформированный с учетом дополнительной группировкой расчетов по ИФО (приложение 3 Учетной политике).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Данные регистры предназначены для отражения доходов и расходов, принимаемых в качестве целевого использования денежных средств, другого имущества, работ, услуг, полученных в виде грантов, благотворительной помощи, пожертвований, других целевых поступлений и средств, полученных в виде безвозмездной помощи (содействия), направленных по целевому назначению.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1.3. Аналитический учет расходования целевых средств (гранты, благотворительная помощь, пожертвования и другие целевые поступления) ведется в разрезе следующих показателей: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а) датой операции является дата использования целевых средств (гранты, благотворительная помощь, пожертвования и другие целевые поступления), полученных на содержание Учреждения и ведения им уставной деятельности: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- по работам и услугам – дата перехода права собственности на работы, услуги;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- по имуществу стоимостью более 100 000 рублей и со сроком полезного использования, превышающим 12 месяцев, - дата перехода права собственности;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lastRenderedPageBreak/>
        <w:t xml:space="preserve">- по остальному имуществу – дата фактического использования этого имущества или дата поступления его в эксплуатацию;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- по оплате труда – дата начисления заработной платы и вознаграждений по договорам гражданско-правового характера;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- по служебным командировкам – дата утверждения авансового отчета;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- по банковским и иным аналогичным операциям – дата списания денежных средств с расчетного, валютного или лицевого счета в отделении Федерального казначейства;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- по иным операциям – дата перечисления средств;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б) показатель "Операции" приводится на основании первичных документов, содержащих информацию о наименовании каждой конкретной операции по расходованию целевых средств;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в) показатель "Документ" отражает номер документа, его название и содержание операции;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г) показатели "Дебет" и "Кредит" содержат сумму документа и номер счета баланса, по которому данная операция отражена.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По окончании налогового периода на основании данных регистров заполняется лист 07 "Отчет о целевом использовании имущества (в том числе денежных средств), работ, услуг, полученных в рамках благотворительной деятельности, целевых поступлений, целевого финансирования" декларации по налогу на прибыль организаций.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1.4. В регистре отражаются сведения о произведенных в течение налогового периода расходах, принимаемых в качестве целевого использования денежных средств, другого имущества, работ, услуг, полученных в рамках благотворительной деятельности, других целевых поступлений, средств целевого финансирования, а также средств, полученных в виде безвозмездной помощи (содействия), которые направлены по целевому назначению.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В регистре учета использования целевых средств отражаются такие показатели, как: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- дата операции;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- наименование операции;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- первичные документы – документы, на основании которых в регистре отражаются операции (платежные документы, приходные и расходные кассовые ордера, накладные, акты приемки работ или оказанных услуг, ведомости по начислению заработной платы, авансовые отчеты, акты на списание материальных ценностей и другие подтверждающие документы);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>- с</w:t>
      </w:r>
      <w:r w:rsidR="005B3849">
        <w:rPr>
          <w:rFonts w:ascii="Times New Roman" w:eastAsia="Calibri" w:hAnsi="Times New Roman" w:cs="Times New Roman"/>
        </w:rPr>
        <w:t>у</w:t>
      </w:r>
      <w:r w:rsidRPr="008C566C">
        <w:rPr>
          <w:rFonts w:ascii="Times New Roman" w:eastAsia="Calibri" w:hAnsi="Times New Roman" w:cs="Times New Roman"/>
        </w:rPr>
        <w:t xml:space="preserve">мма, подтвержденная первичными документами и использованная по целевому назначению в течение установленного срока (если таковой был);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- вид поступления, за счет которого произведен расход.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В регистре учета использования целевых средств датой осуществления операции признается дата проведения хозяйственной операции, которой является дата признания расхода по методу начисления.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8C566C" w:rsidRPr="008C566C" w:rsidRDefault="008C566C" w:rsidP="005B384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</w:rPr>
      </w:pPr>
      <w:r w:rsidRPr="008C566C">
        <w:rPr>
          <w:rFonts w:ascii="Times New Roman" w:eastAsia="Calibri" w:hAnsi="Times New Roman" w:cs="Times New Roman"/>
          <w:b/>
        </w:rPr>
        <w:t>2. Налог на доходы физических лиц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 Налогоплательщиками налога на доходы физических лиц признаются физические лица, являющиеся резидентами Российской Федерации.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Налоговым периодом признается календарный год.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Исчисление суммы налога производится без учета доходов, полученных налогоплательщиком от других налоговых агентов, и удержанных другими налоговыми агентами сумм налога.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Регистр налогового учета по налогу на доходы физических лиц (приложение № 3 к Учетной политике) ведется и хранится в электронном виде в программе "1С: Зарплата и кадры бюджетного учреждения". На бумажном носителе регистр распечатывается по требованию проверяющих органов.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8C566C" w:rsidRPr="008C566C" w:rsidRDefault="008C566C" w:rsidP="005B384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</w:rPr>
      </w:pPr>
      <w:r w:rsidRPr="008C566C">
        <w:rPr>
          <w:rFonts w:ascii="Times New Roman" w:eastAsia="Calibri" w:hAnsi="Times New Roman" w:cs="Times New Roman"/>
          <w:b/>
        </w:rPr>
        <w:lastRenderedPageBreak/>
        <w:t>3. Страховые взносы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Налоговая база плательщика страховых взносов определяется как сумма выплат и иных вознаграждений, признаваемых объектом обложения, начисленных плательщиками страховых взносов за налоговый период в пользу физических лиц по трудовым и гражданско-правовым договорам, предметом которых являются выполнение работ, оказание услуг, а также по авторским договорам.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Расчетным периодом для страховых взносов признается календарный год. Отчетными периодами по страховым взносам признаются первый квартал, полугодие, девять месяцев календарного года.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Размер страхового взноса начисляется и уплачивается в отношении каждого фонда.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Сумма страховых взносов начисляется и уплачивается отдельно в каждый государственный внебюджетный фонд.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Учет сумм начисленных выплат ведется по каждому физическому лицу.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 Сведения об индивидуальном персонифицированном учете в системе государственного пенсионного страхования, предусмотренные законодательством Российской Федерации, представляются в Пенсионный фонд Российской Федерации.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Учет сумм начисленных выплат и иных вознаграждений, а также относящихся к ним сумм страховых взносов на обязательное пенсионное страхование, на обязательное социальное страхование на случай временной нетрудоспособности и в связи с материнством, на обязательное медицинское страхование по каждому физическому лицу, в пользу которого осуществились выплаты и в отношении которого организация выступает плательщиком, ведется в регистрах учета, форма которого приведена в приложении № 3 к Учетной политике Регистр ведется и хранится в электронном виде в программе "1С: Зарплата и кадры бюджетного учреждения". На бумажном носителе регистр распечатывается по требованию проверяющих органов.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 </w:t>
      </w:r>
    </w:p>
    <w:p w:rsidR="008C566C" w:rsidRPr="008C566C" w:rsidRDefault="008C566C" w:rsidP="005B384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</w:rPr>
      </w:pPr>
      <w:bookmarkStart w:id="0" w:name="_GoBack"/>
      <w:r w:rsidRPr="008C566C">
        <w:rPr>
          <w:rFonts w:ascii="Times New Roman" w:eastAsia="Calibri" w:hAnsi="Times New Roman" w:cs="Times New Roman"/>
          <w:b/>
        </w:rPr>
        <w:t>4. Налог на добавленную стоимость</w:t>
      </w:r>
    </w:p>
    <w:bookmarkEnd w:id="0"/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>4.1.</w:t>
      </w:r>
      <w:r w:rsidRPr="008C566C">
        <w:rPr>
          <w:rFonts w:ascii="Times New Roman" w:eastAsia="Calibri" w:hAnsi="Times New Roman" w:cs="Times New Roman"/>
        </w:rPr>
        <w:tab/>
        <w:t>Объектом налогообложения НДС следует считать операции, перечисленные в статье 146 Н К РФ.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>Не является объектом обложения НДС выполнение работ (оказание услуг) в рамках муниципального задания, источником финансирования обеспечения которого являются субсидии из бюджета бюджетной системы Российской Федерации (пп.4.1 п. 2 ст. 146 НК РФ).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>4.2.</w:t>
      </w:r>
      <w:r w:rsidRPr="008C566C">
        <w:rPr>
          <w:rFonts w:ascii="Times New Roman" w:eastAsia="Calibri" w:hAnsi="Times New Roman" w:cs="Times New Roman"/>
        </w:rPr>
        <w:tab/>
        <w:t xml:space="preserve">Учреждение имеет право на освобождение от налогообложения операций, перечисленных в </w:t>
      </w:r>
      <w:proofErr w:type="spellStart"/>
      <w:r w:rsidRPr="008C566C">
        <w:rPr>
          <w:rFonts w:ascii="Times New Roman" w:eastAsia="Calibri" w:hAnsi="Times New Roman" w:cs="Times New Roman"/>
        </w:rPr>
        <w:t>пп</w:t>
      </w:r>
      <w:proofErr w:type="spellEnd"/>
      <w:r w:rsidRPr="008C566C">
        <w:rPr>
          <w:rFonts w:ascii="Times New Roman" w:eastAsia="Calibri" w:hAnsi="Times New Roman" w:cs="Times New Roman"/>
        </w:rPr>
        <w:t>. 4, 14 п. 2 ст. 149 НК РФ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- услуг по присмотру и уходу за детьми в организациях, осуществляющих образовательную деятельность по реализации образовательных программ дошкольного образования, услуг по проведению занятий с несовершеннолетними детьми в кружках, секциях (включая спортивные) и студиях; 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>- услуг в сфере образования, оказываемых некоммерческими образовательными организациями по реализации общеобразовательных и (или) профессиональных образовательных программ (основных и (или) дополнительных), программ профессиональной подготовки, указанных в лицензии, или воспитательного процесса, а также дополнительных образовательных услуг, соответствующих уровню и направленности образовательных программ, указанных в лицензии, за исключением консультационных услуг, а также услуг по сдаче в аренду помещений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>- продуктов питания, непосредственно произведенных столовыми образовательных и медицинских организаций и реализуемых ими в указанных организациях, а также продуктов питания, непосредственно произведенных организациями общественного питания и реализуемых ими указанным столовым или организациям.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lastRenderedPageBreak/>
        <w:t>4.3.</w:t>
      </w:r>
      <w:r w:rsidRPr="008C566C">
        <w:rPr>
          <w:rFonts w:ascii="Times New Roman" w:eastAsia="Calibri" w:hAnsi="Times New Roman" w:cs="Times New Roman"/>
        </w:rPr>
        <w:tab/>
        <w:t>В случае, если сумма выручки за три последовательных календарных месяца не превышает 2 млн. руб., Учреждение может использовать право на освобождение от исполнения обязанностей налогоплательщика по НДС (п. 1 ст. 145 НК РФ).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>4.4.</w:t>
      </w:r>
      <w:r w:rsidRPr="008C566C">
        <w:rPr>
          <w:rFonts w:ascii="Times New Roman" w:eastAsia="Calibri" w:hAnsi="Times New Roman" w:cs="Times New Roman"/>
        </w:rPr>
        <w:tab/>
        <w:t>Предусмотреть возможность налоговых вычетов по НДС согласно п. 4 ст. 170 гл. 21 НК РФ, по товарам (работам, услугам), имущественным правам, расходуемым или используемым при выполнении работ, в производстве товаров, оказании услуг, облагаемых НДС.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>4.5.</w:t>
      </w:r>
      <w:r w:rsidRPr="008C566C">
        <w:rPr>
          <w:rFonts w:ascii="Times New Roman" w:eastAsia="Calibri" w:hAnsi="Times New Roman" w:cs="Times New Roman"/>
        </w:rPr>
        <w:tab/>
        <w:t>В случае использования приобретенных товаров (работ, услуг), имущественных прав для производства или выполнения облагаемых и не облагаемых НДС видов деятельности суммы налога учитывать в их стоимости либо принимать к налоговому вычету в долях. Расчет доли налогового вычета определять, как долю выручки от реализации товаров (работ, услуг), имущественных прав, облагаемых НДС в общей величине доходов от реализации текущего периода. По итогам квартала производить контрольный расчет показателя для распределения налога, после чего производить необходимые корректировки в распределении «входного» НДС.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>4.6.</w:t>
      </w:r>
      <w:r w:rsidRPr="008C566C">
        <w:rPr>
          <w:rFonts w:ascii="Times New Roman" w:eastAsia="Calibri" w:hAnsi="Times New Roman" w:cs="Times New Roman"/>
        </w:rPr>
        <w:tab/>
        <w:t>Суммы НДС по товарам (работам, услугам), имущественным правам, в том числе основным средствам и нематериальным активам, приобретаемым с целью осуществления видов деятельности, не облагаемых НДС, учитывать в их стоимости.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>4.7.</w:t>
      </w:r>
      <w:r w:rsidRPr="008C566C">
        <w:rPr>
          <w:rFonts w:ascii="Times New Roman" w:eastAsia="Calibri" w:hAnsi="Times New Roman" w:cs="Times New Roman"/>
        </w:rPr>
        <w:tab/>
        <w:t>Уплачивать НДС в федеральный бюджет ежеквартально по месту нахождения учреждения в порядке и сроки, предусмотренные ст. 174 гл. 21 НК РФ.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>4.8.</w:t>
      </w:r>
      <w:r w:rsidRPr="008C566C">
        <w:rPr>
          <w:rFonts w:ascii="Times New Roman" w:eastAsia="Calibri" w:hAnsi="Times New Roman" w:cs="Times New Roman"/>
        </w:rPr>
        <w:tab/>
        <w:t>Книга покупок и книга продаж ведется методом сплошной регистрации выписанных и принятых к учету счетов-фактур, которые хранятся в бухгалтерии.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>4.9.</w:t>
      </w:r>
      <w:r w:rsidRPr="008C566C">
        <w:rPr>
          <w:rFonts w:ascii="Times New Roman" w:eastAsia="Calibri" w:hAnsi="Times New Roman" w:cs="Times New Roman"/>
        </w:rPr>
        <w:tab/>
        <w:t xml:space="preserve">При получении суммы оплаты (частичной оплаты) в счет предстоящих поставок товаров (выполненных работ, оказанных услуг), не облагаемых НДС, в соответствии с </w:t>
      </w:r>
      <w:proofErr w:type="spellStart"/>
      <w:r w:rsidRPr="008C566C">
        <w:rPr>
          <w:rFonts w:ascii="Times New Roman" w:eastAsia="Calibri" w:hAnsi="Times New Roman" w:cs="Times New Roman"/>
        </w:rPr>
        <w:t>пп</w:t>
      </w:r>
      <w:proofErr w:type="spellEnd"/>
      <w:r w:rsidRPr="008C566C">
        <w:rPr>
          <w:rFonts w:ascii="Times New Roman" w:eastAsia="Calibri" w:hAnsi="Times New Roman" w:cs="Times New Roman"/>
        </w:rPr>
        <w:t>. 4, 14 п. 2 чт. 149 НК РФ, счета-фактуры не выставляются (</w:t>
      </w:r>
      <w:proofErr w:type="spellStart"/>
      <w:r w:rsidRPr="008C566C">
        <w:rPr>
          <w:rFonts w:ascii="Times New Roman" w:eastAsia="Calibri" w:hAnsi="Times New Roman" w:cs="Times New Roman"/>
        </w:rPr>
        <w:t>пп</w:t>
      </w:r>
      <w:proofErr w:type="spellEnd"/>
      <w:r w:rsidRPr="008C566C">
        <w:rPr>
          <w:rFonts w:ascii="Times New Roman" w:eastAsia="Calibri" w:hAnsi="Times New Roman" w:cs="Times New Roman"/>
        </w:rPr>
        <w:t>. 1 п. 3 ст. 169 НК РФ).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>4.10.</w:t>
      </w:r>
      <w:r w:rsidRPr="008C566C">
        <w:rPr>
          <w:rFonts w:ascii="Times New Roman" w:eastAsia="Calibri" w:hAnsi="Times New Roman" w:cs="Times New Roman"/>
        </w:rPr>
        <w:tab/>
        <w:t>Устанавливается следующий порядок нумерации, составления и оформления счетов-фактур, а также ведения журнала учета полученных и выставленных счетов-фактур, а также дополнительных листов к ним при реализации товаров (выполнения работ, оказании услуг):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>- услуги отражаются раздельно по видам деятельности отдельными строками для определения операций подлежащих налогообложению и освобожденных от налогообложения;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 xml:space="preserve">- нумерация счетов-фактур осуществляется в порядке возрастания номеров по всем Учреждениям, обслуживаемым Централизованной бухгалтерией с применением литеры «00БГ </w:t>
      </w:r>
      <w:proofErr w:type="gramStart"/>
      <w:r w:rsidRPr="008C566C">
        <w:rPr>
          <w:rFonts w:ascii="Times New Roman" w:eastAsia="Calibri" w:hAnsi="Times New Roman" w:cs="Times New Roman"/>
        </w:rPr>
        <w:t>-….</w:t>
      </w:r>
      <w:proofErr w:type="gramEnd"/>
      <w:r w:rsidRPr="008C566C">
        <w:rPr>
          <w:rFonts w:ascii="Times New Roman" w:eastAsia="Calibri" w:hAnsi="Times New Roman" w:cs="Times New Roman"/>
        </w:rPr>
        <w:t>.»;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>- счета-фактуры по товарам (работам, услугам), оплаченным физлицами в безналичном порядке, выписываются в одном экземпляре для учета данной продукции (работы, услуги) Учреждением по итогам налогового периода. При этом если у Учреждения нет информации о таких лицах, в соответствующих строках этого документа проставляются прочерки;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>- журнала учета полученных и выставленных счетов-фактур, книги покупок и книги продаж ведется в порядке, установленном Правительством Российской Федерации, методом сплошной регистрации принятых к учету и выставленных счетов-фактур с использованием автоматизированного учета и с последующим распечатываем не позднее 25 числа первого месяца, следующего за отчетным кварталом.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>4.11.</w:t>
      </w:r>
      <w:r w:rsidRPr="008C566C">
        <w:rPr>
          <w:rFonts w:ascii="Times New Roman" w:eastAsia="Calibri" w:hAnsi="Times New Roman" w:cs="Times New Roman"/>
        </w:rPr>
        <w:tab/>
        <w:t>Ответственными лицами за подписание счетов-фактур назначить: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>- руководителя Учреждения;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>- главного бухгалтера (заместителя главного бухгалтера).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566C">
        <w:rPr>
          <w:rFonts w:ascii="Times New Roman" w:eastAsia="Calibri" w:hAnsi="Times New Roman" w:cs="Times New Roman"/>
        </w:rPr>
        <w:t>В их отсутствие имеют право подписывать счета-фактуры лица, указанные в карточке образцов подписей, либо на основании приказа руководителя.</w:t>
      </w: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8C566C" w:rsidRPr="008C566C" w:rsidRDefault="008C566C" w:rsidP="005B38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9F4FAF" w:rsidRDefault="009F4FAF" w:rsidP="005B3849">
      <w:pPr>
        <w:spacing w:after="0" w:line="240" w:lineRule="auto"/>
        <w:ind w:firstLine="709"/>
      </w:pPr>
    </w:p>
    <w:sectPr w:rsidR="009F4FAF" w:rsidSect="005B384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66C"/>
    <w:rsid w:val="005B3849"/>
    <w:rsid w:val="008C566C"/>
    <w:rsid w:val="009F4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876AD"/>
  <w15:chartTrackingRefBased/>
  <w15:docId w15:val="{C4660DA4-DA56-4C60-8532-492A7EB62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2393</Words>
  <Characters>13641</Characters>
  <Application>Microsoft Office Word</Application>
  <DocSecurity>0</DocSecurity>
  <Lines>113</Lines>
  <Paragraphs>32</Paragraphs>
  <ScaleCrop>false</ScaleCrop>
  <Company/>
  <LinksUpToDate>false</LinksUpToDate>
  <CharactersWithSpaces>16002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2020-09-25T06:20:00Z</dcterms:created>
  <dcterms:modified xsi:type="dcterms:W3CDTF">2020-09-25T06:24:00Z</dcterms:modified>
</cp:coreProperties>
</file>